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7903" w14:textId="133505C2" w:rsidR="007425ED" w:rsidRPr="007425ED" w:rsidRDefault="007425ED" w:rsidP="007425ED">
      <w:pPr>
        <w:spacing w:before="161" w:after="161" w:line="240" w:lineRule="auto"/>
        <w:jc w:val="center"/>
        <w:rPr>
          <w:rFonts w:ascii="Lato" w:eastAsia="Times New Roman" w:hAnsi="Lato" w:cs="Times New Roman"/>
          <w:b/>
          <w:bCs/>
          <w:color w:val="4C4F50"/>
          <w:sz w:val="24"/>
          <w:szCs w:val="24"/>
          <w:lang w:eastAsia="en-ID"/>
        </w:rPr>
      </w:pPr>
      <w:r w:rsidRPr="007425ED">
        <w:rPr>
          <w:rFonts w:ascii="Lato" w:eastAsia="Times New Roman" w:hAnsi="Lato" w:cs="Times New Roman"/>
          <w:b/>
          <w:bCs/>
          <w:color w:val="4C4F50"/>
          <w:sz w:val="24"/>
          <w:szCs w:val="24"/>
          <w:lang w:eastAsia="en-ID"/>
        </w:rPr>
        <w:t>LANGKAH-LANGKAH PENCATATAN PERSEDIAAN</w:t>
      </w:r>
    </w:p>
    <w:p w14:paraId="472D26A6" w14:textId="77777777" w:rsidR="007425ED" w:rsidRDefault="007425ED" w:rsidP="007425ED">
      <w:pPr>
        <w:spacing w:before="161" w:after="161" w:line="240" w:lineRule="auto"/>
        <w:jc w:val="center"/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</w:pPr>
    </w:p>
    <w:p w14:paraId="03830461" w14:textId="7FB6262D" w:rsidR="007425ED" w:rsidRPr="007425ED" w:rsidRDefault="007425ED" w:rsidP="007425ED">
      <w:pPr>
        <w:spacing w:before="161" w:after="161" w:line="240" w:lineRule="auto"/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</w:pP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Dengan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ini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kami 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beritahukan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langkah-langkah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mekanisme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pencatatan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persediaan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pengguna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 SAKTI 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sebagai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proofErr w:type="gram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berkut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:</w:t>
      </w:r>
      <w:proofErr w:type="gramEnd"/>
    </w:p>
    <w:p w14:paraId="544BB56F" w14:textId="77777777" w:rsidR="007425ED" w:rsidRPr="007425ED" w:rsidRDefault="007425ED" w:rsidP="007425ED">
      <w:pPr>
        <w:numPr>
          <w:ilvl w:val="0"/>
          <w:numId w:val="1"/>
        </w:numPr>
        <w:spacing w:before="75" w:after="100" w:afterAutospacing="1" w:line="240" w:lineRule="auto"/>
        <w:textAlignment w:val="baseline"/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</w:pP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Persediaan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dibukukan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dengan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metode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pencatatan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r w:rsidRPr="007425ED">
        <w:rPr>
          <w:rFonts w:ascii="Lato" w:eastAsia="Times New Roman" w:hAnsi="Lato" w:cs="Times New Roman"/>
          <w:b/>
          <w:bCs/>
          <w:color w:val="FF0000"/>
          <w:sz w:val="24"/>
          <w:szCs w:val="24"/>
          <w:lang w:eastAsia="en-ID"/>
        </w:rPr>
        <w:t>perpetual</w:t>
      </w:r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,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setiap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ada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transaksi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segera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catat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dan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harus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urut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sesuai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dengan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urutan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transaksi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masuk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dan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keluarnya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(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jangan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di input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persediaan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masuk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dulu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semua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baru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persediaan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keluar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).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Satker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tidak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bisa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menyisipkan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transaksi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yang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ketinggalan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karena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persediaan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.</w:t>
      </w:r>
    </w:p>
    <w:p w14:paraId="777C4600" w14:textId="77777777" w:rsidR="007425ED" w:rsidRPr="007425ED" w:rsidRDefault="007425ED" w:rsidP="007425ED">
      <w:pPr>
        <w:numPr>
          <w:ilvl w:val="0"/>
          <w:numId w:val="1"/>
        </w:numPr>
        <w:spacing w:before="75" w:after="100" w:afterAutospacing="1" w:line="240" w:lineRule="auto"/>
        <w:textAlignment w:val="baseline"/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</w:pP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Tanggal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dokumen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dan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tanggal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buku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transaksi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tahun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anggaran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berjalan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(TAB)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seperti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pembelian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,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idealnya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sama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karena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metode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pencatatanya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perpetual.</w:t>
      </w:r>
    </w:p>
    <w:p w14:paraId="759676AB" w14:textId="77777777" w:rsidR="007425ED" w:rsidRPr="007425ED" w:rsidRDefault="007425ED" w:rsidP="007425ED">
      <w:pPr>
        <w:numPr>
          <w:ilvl w:val="0"/>
          <w:numId w:val="1"/>
        </w:numPr>
        <w:spacing w:before="75" w:after="100" w:afterAutospacing="1" w:line="240" w:lineRule="auto"/>
        <w:textAlignment w:val="baseline"/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</w:pP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Bila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ada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data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persediaan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dengan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akun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tak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wajar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di MONSAKTI,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dimungkinkan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karena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salah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pembebanan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akun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atau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salah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pemilihan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kodifikasi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barang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pada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dokumen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sumber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yaitu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kuitansi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atau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BAST.</w:t>
      </w:r>
    </w:p>
    <w:p w14:paraId="285363F3" w14:textId="77777777" w:rsidR="007425ED" w:rsidRPr="007425ED" w:rsidRDefault="007425ED" w:rsidP="007425ED">
      <w:pPr>
        <w:numPr>
          <w:ilvl w:val="0"/>
          <w:numId w:val="1"/>
        </w:numPr>
        <w:spacing w:before="75" w:after="100" w:afterAutospacing="1" w:line="240" w:lineRule="auto"/>
        <w:textAlignment w:val="baseline"/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</w:pP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Kesalahan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pemilihan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kodifikasi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barang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persediaan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oleh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modul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komitmen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dan/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modul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bendahara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bisa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diperbaiki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oleh operator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komitmen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untuk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BAST dan operator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bendahara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untuk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kuitansi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dengan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prasyarat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belum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menjadi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SPP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atau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setelah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cata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SP2D oleh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modul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pembayaran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sepanjang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belum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pernah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di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detilkan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(input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pembelian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) oleh Modul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Persediaan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.</w:t>
      </w:r>
    </w:p>
    <w:p w14:paraId="222E356D" w14:textId="77777777" w:rsidR="007425ED" w:rsidRPr="007425ED" w:rsidRDefault="007425ED" w:rsidP="007425ED">
      <w:pPr>
        <w:numPr>
          <w:ilvl w:val="0"/>
          <w:numId w:val="1"/>
        </w:numPr>
        <w:spacing w:before="75" w:after="100" w:afterAutospacing="1" w:line="240" w:lineRule="auto"/>
        <w:textAlignment w:val="baseline"/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</w:pP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Untuk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proses approval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atau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persetujuan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persediaan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,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prasyaratnya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adalah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periode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sebelum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tanggal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pembukuan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transaksi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yang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bersangkutan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harus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sudah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di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tutup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periode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,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jika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periode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sebelum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tansaksi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tersebut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belum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di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tutup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maka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listing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transaksi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yang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sudah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diinput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operator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tidak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muncul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pada menu approval.</w:t>
      </w:r>
    </w:p>
    <w:p w14:paraId="61C44966" w14:textId="77777777" w:rsidR="007425ED" w:rsidRPr="007425ED" w:rsidRDefault="007425ED" w:rsidP="007425ED">
      <w:pPr>
        <w:numPr>
          <w:ilvl w:val="0"/>
          <w:numId w:val="1"/>
        </w:numPr>
        <w:spacing w:before="75" w:after="100" w:afterAutospacing="1" w:line="240" w:lineRule="auto"/>
        <w:textAlignment w:val="baseline"/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</w:pP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Bila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ada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pertanyaan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lebih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lanjut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bisa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disampaikan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melalui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haiDJPBN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 xml:space="preserve"> pada </w:t>
      </w:r>
      <w:proofErr w:type="spellStart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alamat</w:t>
      </w:r>
      <w:proofErr w:type="spellEnd"/>
      <w:r w:rsidRPr="007425ED">
        <w:rPr>
          <w:rFonts w:ascii="Lato" w:eastAsia="Times New Roman" w:hAnsi="Lato" w:cs="Times New Roman"/>
          <w:color w:val="4C4F50"/>
          <w:sz w:val="24"/>
          <w:szCs w:val="24"/>
          <w:lang w:eastAsia="en-ID"/>
        </w:rPr>
        <w:t> </w:t>
      </w:r>
      <w:hyperlink r:id="rId5" w:history="1">
        <w:r w:rsidRPr="007425ED">
          <w:rPr>
            <w:rFonts w:ascii="Lato" w:eastAsia="Times New Roman" w:hAnsi="Lato" w:cs="Times New Roman"/>
            <w:color w:val="0000FF"/>
            <w:sz w:val="24"/>
            <w:szCs w:val="24"/>
            <w:u w:val="single"/>
            <w:lang w:eastAsia="en-ID"/>
          </w:rPr>
          <w:t>http://hai.kemenkeu.go.id/new-tiket.</w:t>
        </w:r>
      </w:hyperlink>
    </w:p>
    <w:p w14:paraId="795F0853" w14:textId="77777777" w:rsidR="00FF4E7F" w:rsidRDefault="00FF4E7F"/>
    <w:sectPr w:rsidR="00FF4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C1A"/>
    <w:multiLevelType w:val="multilevel"/>
    <w:tmpl w:val="2D02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50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ED"/>
    <w:rsid w:val="001D64FD"/>
    <w:rsid w:val="00661929"/>
    <w:rsid w:val="006B28E0"/>
    <w:rsid w:val="007425ED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8BFA"/>
  <w15:chartTrackingRefBased/>
  <w15:docId w15:val="{DB48DF38-254A-4C0A-B7FA-AA901D20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742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ai.kemenkeu.go.id/new-ti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Noppy Swaras Sari</dc:creator>
  <cp:keywords/>
  <dc:description/>
  <cp:lastModifiedBy>Noppy Swaras Sari</cp:lastModifiedBy>
  <cp:revision>3</cp:revision>
  <dcterms:created xsi:type="dcterms:W3CDTF">2023-06-07T04:07:00Z</dcterms:created>
  <dcterms:modified xsi:type="dcterms:W3CDTF">2023-07-14T03:54:00Z</dcterms:modified>
</cp:coreProperties>
</file>